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311785</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346075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July, 2021</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62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490220</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778"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July 28, 2021</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9" w:lineRule="exact"/>
        <w:rPr>
          <w:sz w:val="20"/>
          <w:szCs w:val="20"/>
          <w:color w:val="auto"/>
        </w:rPr>
      </w:pPr>
    </w:p>
    <w:p>
      <w:pPr>
        <w:ind w:left="6760"/>
        <w:spacing w:after="0"/>
        <w:tabs>
          <w:tab w:leader="none" w:pos="730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4642485</wp:posOffset>
            </wp:positionH>
            <wp:positionV relativeFrom="paragraph">
              <wp:posOffset>14605</wp:posOffset>
            </wp:positionV>
            <wp:extent cx="249428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494280" cy="8255"/>
                    </a:xfrm>
                    <a:prstGeom prst="rect">
                      <a:avLst/>
                    </a:prstGeom>
                    <a:noFill/>
                  </pic:spPr>
                </pic:pic>
              </a:graphicData>
            </a:graphic>
          </wp:anchor>
        </w:drawing>
      </w:r>
    </w:p>
    <w:p>
      <w:pPr>
        <w:spacing w:after="0" w:line="231" w:lineRule="exact"/>
        <w:rPr>
          <w:sz w:val="20"/>
          <w:szCs w:val="20"/>
          <w:color w:val="auto"/>
        </w:rPr>
      </w:pPr>
    </w:p>
    <w:p>
      <w:pPr>
        <w:ind w:left="676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6760"/>
        <w:spacing w:after="0"/>
        <w:tabs>
          <w:tab w:leader="none" w:pos="730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280035</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2839720</wp:posOffset>
            </wp:positionH>
            <wp:positionV relativeFrom="page">
              <wp:posOffset>586105</wp:posOffset>
            </wp:positionV>
            <wp:extent cx="1834515" cy="8826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1834515" cy="8826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QUARTERLY DIVIDEND PAYMENT</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FOR SECOND QUARTER 2021</w:t>
      </w:r>
    </w:p>
    <w:p>
      <w:pPr>
        <w:spacing w:after="0" w:line="207" w:lineRule="exact"/>
        <w:rPr>
          <w:sz w:val="20"/>
          <w:szCs w:val="20"/>
          <w:color w:val="auto"/>
        </w:rPr>
      </w:pPr>
    </w:p>
    <w:p>
      <w:pPr>
        <w:jc w:val="both"/>
        <w:spacing w:after="0" w:line="312" w:lineRule="auto"/>
        <w:rPr>
          <w:sz w:val="20"/>
          <w:szCs w:val="20"/>
          <w:color w:val="auto"/>
        </w:rPr>
      </w:pPr>
      <w:r>
        <w:rPr>
          <w:rFonts w:ascii="Arial" w:cs="Arial" w:eastAsia="Arial" w:hAnsi="Arial"/>
          <w:sz w:val="17"/>
          <w:szCs w:val="17"/>
          <w:b w:val="1"/>
          <w:bCs w:val="1"/>
          <w:color w:val="auto"/>
        </w:rPr>
        <w:t xml:space="preserve">Panama City, Republic of Panama, July 28, 2021 </w:t>
      </w:r>
      <w:r>
        <w:rPr>
          <w:rFonts w:ascii="Arial" w:cs="Arial" w:eastAsia="Arial" w:hAnsi="Arial"/>
          <w:sz w:val="17"/>
          <w:szCs w:val="17"/>
          <w:color w:val="auto"/>
        </w:rPr>
        <w:t>- Banco Latinoamericano de Comercio Exterior, S.A. (“Bladex” or the “Bank”), announced today its</w:t>
      </w:r>
      <w:r>
        <w:rPr>
          <w:rFonts w:ascii="Arial" w:cs="Arial" w:eastAsia="Arial" w:hAnsi="Arial"/>
          <w:sz w:val="17"/>
          <w:szCs w:val="17"/>
          <w:b w:val="1"/>
          <w:bCs w:val="1"/>
          <w:color w:val="auto"/>
        </w:rPr>
        <w:t xml:space="preserve"> </w:t>
      </w:r>
      <w:r>
        <w:rPr>
          <w:rFonts w:ascii="Arial" w:cs="Arial" w:eastAsia="Arial" w:hAnsi="Arial"/>
          <w:sz w:val="17"/>
          <w:szCs w:val="17"/>
          <w:color w:val="auto"/>
        </w:rPr>
        <w:t>Board of Directors’ approval of a quarterly cash dividend of US$0.25 per share corresponding to the second quarter of 2021.</w:t>
      </w:r>
    </w:p>
    <w:p>
      <w:pPr>
        <w:spacing w:after="0" w:line="144" w:lineRule="exact"/>
        <w:rPr>
          <w:sz w:val="20"/>
          <w:szCs w:val="20"/>
          <w:color w:val="auto"/>
        </w:rPr>
      </w:pPr>
    </w:p>
    <w:p>
      <w:pPr>
        <w:spacing w:after="0"/>
        <w:rPr>
          <w:sz w:val="20"/>
          <w:szCs w:val="20"/>
          <w:color w:val="auto"/>
        </w:rPr>
      </w:pPr>
      <w:r>
        <w:rPr>
          <w:rFonts w:ascii="Arial" w:cs="Arial" w:eastAsia="Arial" w:hAnsi="Arial"/>
          <w:sz w:val="18"/>
          <w:szCs w:val="18"/>
          <w:color w:val="auto"/>
        </w:rPr>
        <w:t>The cash dividend is payable August 24, 2021 to the Bank’s stockholders as of August 9, 2021 record date.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As of June 30, 2021, Bladex had 39,361,299.73 shares outstanding of all classes.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on Bladex, please access its website at </w:t>
      </w:r>
      <w:r>
        <w:rPr>
          <w:rFonts w:ascii="Arial" w:cs="Arial" w:eastAsia="Arial" w:hAnsi="Arial"/>
          <w:sz w:val="18"/>
          <w:szCs w:val="18"/>
          <w:u w:val="single" w:color="auto"/>
          <w:color w:val="auto"/>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136130" cy="5867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6130" cy="586740"/>
                    </a:xfrm>
                    <a:prstGeom prst="rect">
                      <a:avLst/>
                    </a:prstGeom>
                    <a:noFill/>
                  </pic:spPr>
                </pic:pic>
              </a:graphicData>
            </a:graphic>
          </wp:anchor>
        </w:drawing>
      </w:r>
    </w:p>
    <w:p>
      <w:pPr>
        <w:spacing w:after="0" w:line="246" w:lineRule="exact"/>
        <w:rPr>
          <w:sz w:val="20"/>
          <w:szCs w:val="20"/>
          <w:color w:val="auto"/>
        </w:rPr>
      </w:pPr>
    </w:p>
    <w:p>
      <w:pPr>
        <w:ind w:left="100"/>
        <w:spacing w:after="0"/>
        <w:rPr>
          <w:sz w:val="20"/>
          <w:szCs w:val="20"/>
          <w:color w:val="auto"/>
        </w:rPr>
      </w:pPr>
      <w:r>
        <w:rPr>
          <w:rFonts w:ascii="Arial" w:cs="Arial" w:eastAsia="Arial" w:hAnsi="Arial"/>
          <w:sz w:val="18"/>
          <w:szCs w:val="18"/>
          <w:color w:val="auto"/>
        </w:rPr>
        <w:t>Monica Cosulich - SVP, Finance and Investor Relations</w:t>
      </w:r>
    </w:p>
    <w:p>
      <w:pPr>
        <w:spacing w:after="0" w:line="23" w:lineRule="exact"/>
        <w:rPr>
          <w:sz w:val="20"/>
          <w:szCs w:val="20"/>
          <w:color w:val="auto"/>
        </w:rPr>
      </w:pPr>
    </w:p>
    <w:p>
      <w:pPr>
        <w:ind w:left="10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ir@bladex.com</w:t>
      </w:r>
      <w:r>
        <w:rPr>
          <w:rFonts w:ascii="Arial" w:cs="Arial" w:eastAsia="Arial" w:hAnsi="Arial"/>
          <w:sz w:val="18"/>
          <w:szCs w:val="18"/>
          <w:color w:val="auto"/>
        </w:rPr>
        <w:t>. Tel.: (+507) 210-8563</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288925</wp:posOffset>
            </wp:positionV>
            <wp:extent cx="71323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2021-07-28T14:24:29Z</dcterms:created>
  <dcterms:modified xsi:type="dcterms:W3CDTF">2021-07-28T14:24:29Z</dcterms:modified>
</cp:coreProperties>
</file>